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6" w:rsidRDefault="008E3456" w:rsidP="003374F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3"/>
        <w:gridCol w:w="4669"/>
      </w:tblGrid>
      <w:tr w:rsidR="00070C99" w:rsidRPr="00070C99" w:rsidTr="00070C99">
        <w:trPr>
          <w:gridAfter w:val="1"/>
          <w:wAfter w:w="600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Olağan</w:t>
            </w:r>
          </w:p>
        </w:tc>
      </w:tr>
      <w:tr w:rsidR="00070C99" w:rsidRPr="00070C99" w:rsidTr="00070C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Tarihi ve Saati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10.07.2014 </w:t>
            </w:r>
            <w:proofErr w:type="gram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10:00</w:t>
            </w:r>
            <w:proofErr w:type="gramEnd"/>
          </w:p>
        </w:tc>
      </w:tr>
      <w:tr w:rsidR="00070C99" w:rsidRPr="00070C99" w:rsidTr="00070C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Hesap Dönemi Başlangıç Tarihi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01.04.2013</w:t>
            </w:r>
          </w:p>
        </w:tc>
      </w:tr>
      <w:tr w:rsidR="00070C99" w:rsidRPr="00070C99" w:rsidTr="00070C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Hesap Dönemi Bitiş Tarihi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31.03.2014</w:t>
            </w:r>
          </w:p>
        </w:tc>
      </w:tr>
      <w:tr w:rsidR="00070C99" w:rsidRPr="00070C99" w:rsidTr="00070C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Genel Kurul Yapıldı mı?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Evet</w:t>
            </w:r>
          </w:p>
        </w:tc>
      </w:tr>
      <w:tr w:rsidR="00070C99" w:rsidRPr="00070C99" w:rsidTr="00070C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Alınan Kararlar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70C99" w:rsidRPr="00070C99" w:rsidRDefault="00070C99" w:rsidP="00070C9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</w:pPr>
            <w:proofErr w:type="gram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Martı Gayrimenkul Yatırım Ortaklığı A.Ş.'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nin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01.04.2013-31.03.2014 dönemine ait Olağan Genel Kurul Toplantısı 10.07.2014 tarihinde, saat 10.00'da Martı İstanbul 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Hotel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Abdülhak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Hamit Cad. No: 25/B Taksim İstanbul adresinde, T.C. İstanbul Valiliği Ticaret İl Müdürlüğü'nün 09.07.2014 tarih ve 18516 sayılı yazısıyla görevlendirilen Bakanlık Temsilcisi Hüseyin Bakırcı gözetiminde yapılmıştır.</w:t>
            </w:r>
            <w:proofErr w:type="gram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</w:r>
            <w:proofErr w:type="gram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Toplantıya ait davet; Kanun ve Esas Sözleşmede öngörüldüğü gibi ve gündemi ve ekleri ihtiva edecek şekilde 18.06.2014 tarihinde Kamuyu Aydınlatma Platformu, toplantı tarihinden 3 hafta önce Şirketin internet sitesi ve Merkezi Kayıt Kuruluşu A.Ş.'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nin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Elektronik Genel Kurul Sistemi'nde (EGKS), Türkiye Ticaret Sicil Gazetesi'nin 18.06.2014 tarih, 8593 sayılı nüshasında ilan edilmek suretiyle toplantı gün ve gündeminin bildirilmesi süresi içinde yapılmıştır.</w:t>
            </w:r>
            <w:proofErr w:type="gram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  <w:t xml:space="preserve">Hazır bulunanlar listesinin tetkikinden, Şirketin toplam 110.000.000 TL'lik sermayesine tekabül eden 110.000.000 adet hisseden 3.831.093 TL'lik sermayeye karşılık 3.831.093 adet hissenin asaleten, 52.695.998 TL'lik sermayeye karşılık 52.695.998 adet hissenin </w:t>
            </w:r>
            <w:proofErr w:type="gram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vekaleten</w:t>
            </w:r>
            <w:proofErr w:type="gram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olmak üzere toplam 56.527.091 TL'lik sermayeye karşılık 56.527.091 adet hissenin toplantıda temsil edildiği ve böylece gerek kanun ve gerekse Esas Sözleşmede öngörülen asgari toplantı nisabının mevcut olduğu anlaşılmıştır.</w:t>
            </w: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  <w:t xml:space="preserve">Şirket Yönetim Kurulu Başkanı Mine Narin, Yönetim Kurulu Başkan Yardımcısı Nurullah Emre Narin, Yönetim Kurulu Üyeleri Pakize Oya Narin, Halil Bülent Çorapçı, Zekeriya Serhan 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Altınordu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, Hasan Emre Temelli, Erhan Gürcan ve Bağımsız Denetim Şirketi Çağdaş Bağımsız Denetim S.</w:t>
            </w:r>
            <w:proofErr w:type="gram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M.M.M.</w:t>
            </w:r>
            <w:proofErr w:type="gram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A.Ş.'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yi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temsilen Sorumlu Ortak 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Başdenetçi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Özcan Aksu'nun, Denetçi Yusuf Kenan Onat'ın toplantıda hazır bulunduğu tespit edilmiştir.</w:t>
            </w:r>
            <w:r w:rsidRPr="00070C99">
              <w:rPr>
                <w:rFonts w:ascii="Verdana" w:eastAsia="Times New Roman" w:hAnsi="Verdana" w:cs="Times New Roman"/>
                <w:color w:val="0D3734"/>
                <w:sz w:val="15"/>
              </w:rPr>
              <w:t> </w:t>
            </w: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  <w:t>Toplantının başlamasına herhangi bir engel olmadığı Bakanlık Temsilcisi Hüseyin Bakırcı tarafından ifade edilerek, toplantı Yönetim Kurulu Başkanı Mine Narin tarafından açılmış ve gündemin görüşülmesine geçilmiştir.</w:t>
            </w: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</w: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  <w:t>Olağan Genel Kurul gündemindeki kararlar ekteki toplantı tutanağında belirtildiği gibi oybirliği ile kabul edilmiştir.</w:t>
            </w:r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br/>
              <w:t xml:space="preserve">10.07.2014 tarihinde yapılan 01.04.2013-31.03.2014 Özel Hesap Dönemine ait Olağan Genel Kurul Toplantısına ilişkin Toplantı Tutanağı ve </w:t>
            </w:r>
            <w:proofErr w:type="spellStart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>Hazirun</w:t>
            </w:r>
            <w:proofErr w:type="spellEnd"/>
            <w:r w:rsidRPr="00070C99">
              <w:rPr>
                <w:rFonts w:ascii="Verdana" w:eastAsia="Times New Roman" w:hAnsi="Verdana" w:cs="Times New Roman"/>
                <w:color w:val="0D3734"/>
                <w:sz w:val="15"/>
                <w:szCs w:val="15"/>
              </w:rPr>
              <w:t xml:space="preserve"> Cetveli ekte yer almaktadır.</w:t>
            </w:r>
          </w:p>
        </w:tc>
      </w:tr>
    </w:tbl>
    <w:p w:rsidR="00070C99" w:rsidRPr="007E25D4" w:rsidRDefault="00070C99" w:rsidP="003374F9">
      <w:pPr>
        <w:shd w:val="clear" w:color="auto" w:fill="FFFFFF"/>
        <w:spacing w:after="0" w:line="240" w:lineRule="auto"/>
        <w:rPr>
          <w:rFonts w:eastAsia="Times New Roman" w:cs="Arial"/>
        </w:rPr>
      </w:pPr>
    </w:p>
    <w:sectPr w:rsidR="00070C99" w:rsidRPr="007E25D4" w:rsidSect="00E4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2F20"/>
    <w:rsid w:val="0001273D"/>
    <w:rsid w:val="00016309"/>
    <w:rsid w:val="00070C99"/>
    <w:rsid w:val="000C2852"/>
    <w:rsid w:val="000D3FB4"/>
    <w:rsid w:val="000E4504"/>
    <w:rsid w:val="00115169"/>
    <w:rsid w:val="00115B72"/>
    <w:rsid w:val="001668F4"/>
    <w:rsid w:val="00175800"/>
    <w:rsid w:val="00191058"/>
    <w:rsid w:val="00192F20"/>
    <w:rsid w:val="001E42B4"/>
    <w:rsid w:val="00202747"/>
    <w:rsid w:val="0029132A"/>
    <w:rsid w:val="00295522"/>
    <w:rsid w:val="002B1F1C"/>
    <w:rsid w:val="00301434"/>
    <w:rsid w:val="00327265"/>
    <w:rsid w:val="003374F9"/>
    <w:rsid w:val="003422E7"/>
    <w:rsid w:val="003D53A8"/>
    <w:rsid w:val="003F08AB"/>
    <w:rsid w:val="0043084F"/>
    <w:rsid w:val="00465D4B"/>
    <w:rsid w:val="00471146"/>
    <w:rsid w:val="0047757C"/>
    <w:rsid w:val="00497664"/>
    <w:rsid w:val="00505FAC"/>
    <w:rsid w:val="005644B4"/>
    <w:rsid w:val="006310F8"/>
    <w:rsid w:val="00643483"/>
    <w:rsid w:val="00650B17"/>
    <w:rsid w:val="00651BFA"/>
    <w:rsid w:val="00656BEB"/>
    <w:rsid w:val="00683D33"/>
    <w:rsid w:val="006A405C"/>
    <w:rsid w:val="00762FB9"/>
    <w:rsid w:val="0077049E"/>
    <w:rsid w:val="007E25D4"/>
    <w:rsid w:val="00837AAA"/>
    <w:rsid w:val="00876ACB"/>
    <w:rsid w:val="0087739D"/>
    <w:rsid w:val="008E3456"/>
    <w:rsid w:val="0096738B"/>
    <w:rsid w:val="00972A45"/>
    <w:rsid w:val="009A55E5"/>
    <w:rsid w:val="009A6C66"/>
    <w:rsid w:val="009B7140"/>
    <w:rsid w:val="009D4F14"/>
    <w:rsid w:val="00A84222"/>
    <w:rsid w:val="00B32BCC"/>
    <w:rsid w:val="00B40C24"/>
    <w:rsid w:val="00B75918"/>
    <w:rsid w:val="00B9500E"/>
    <w:rsid w:val="00BA2FDD"/>
    <w:rsid w:val="00BC1006"/>
    <w:rsid w:val="00C33036"/>
    <w:rsid w:val="00C939B6"/>
    <w:rsid w:val="00C96073"/>
    <w:rsid w:val="00C967F1"/>
    <w:rsid w:val="00D03754"/>
    <w:rsid w:val="00D138A1"/>
    <w:rsid w:val="00D61100"/>
    <w:rsid w:val="00E41B05"/>
    <w:rsid w:val="00FD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92F20"/>
  </w:style>
  <w:style w:type="paragraph" w:styleId="BalonMetni">
    <w:name w:val="Balloon Text"/>
    <w:basedOn w:val="Normal"/>
    <w:link w:val="BalonMetniChar"/>
    <w:uiPriority w:val="99"/>
    <w:semiHidden/>
    <w:unhideWhenUsed/>
    <w:rsid w:val="00B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B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37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2F20"/>
  </w:style>
  <w:style w:type="paragraph" w:styleId="BalloonText">
    <w:name w:val="Balloon Text"/>
    <w:basedOn w:val="Normal"/>
    <w:link w:val="BalloonTextChar"/>
    <w:uiPriority w:val="99"/>
    <w:semiHidden/>
    <w:unhideWhenUsed/>
    <w:rsid w:val="00B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7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A47D-96C7-4C1B-9801-E30BB278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Gülay</dc:creator>
  <cp:lastModifiedBy>AyseOzlemKuruca</cp:lastModifiedBy>
  <cp:revision>2</cp:revision>
  <dcterms:created xsi:type="dcterms:W3CDTF">2014-07-10T10:27:00Z</dcterms:created>
  <dcterms:modified xsi:type="dcterms:W3CDTF">2014-07-10T10:27:00Z</dcterms:modified>
</cp:coreProperties>
</file>